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160" w:before="0" w:line="276"/>
      </w:pPr>
      <w:r>
        <w:drawing>
          <wp:inline distT="0" distB="0" distL="0" distR="0">
            <wp:extent cx="1428750" cy="457200"/>
            <wp:effectExtent t="0" r="0" b="0" l="0"/>
            <wp:docPr id="1" name="Fun Palaces logo" descr="Fun Palaces logo" title="Fun Pala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spacing w:after="60" w:before="0" w:line="276"/>
      </w:pPr>
      <w:r>
        <w:rPr>
          <w:rFonts w:ascii="Yellix Black" w:cs="Yellix Black" w:eastAsia="Yellix Black" w:hAnsi="Yellix Black"/>
          <w:b w:val="false"/>
          <w:bCs w:val="false"/>
          <w:i w:val="false"/>
          <w:iCs w:val="false"/>
          <w:color w:val="000000"/>
          <w:sz w:val="44"/>
          <w:szCs w:val="44"/>
        </w:rPr>
        <w:t xml:space="preserve">Risk Assessment</w:t>
      </w:r>
    </w:p>
    <w:p>
      <w:pPr>
        <w:keepNext w:val="false"/>
        <w:spacing w:after="120" w:before="0" w:line="276"/>
      </w:pPr>
      <w:r>
        <w:rPr>
          <w:rFonts w:ascii="Yellix" w:cs="Yellix" w:eastAsia="Yellix" w:hAnsi="Yellix"/>
          <w:b w:val="false"/>
          <w:bCs w:val="false"/>
          <w:i w:val="false"/>
          <w:iCs w:val="false"/>
          <w:color w:val="000000"/>
          <w:sz w:val="22"/>
          <w:szCs w:val="22"/>
        </w:rPr>
        <w:t xml:space="preserve">A simple form to help you think through anything that could go wrong at your Fun Palace - and what you'll do about it.</w:t>
      </w:r>
    </w:p>
    <w:p>
      <w:pPr>
        <w:keepNext w:val="false"/>
        <w:spacing w:after="160" w:before="0" w:line="276"/>
      </w:pPr>
      <w:r>
        <w:rPr>
          <w:rFonts w:ascii="Yellix" w:cs="Yellix" w:eastAsia="Yellix" w:hAnsi="Yellix"/>
          <w:b/>
          <w:bCs/>
          <w:i w:val="false"/>
          <w:iCs w:val="false"/>
          <w:color w:val="000000"/>
          <w:sz w:val="20"/>
          <w:szCs w:val="20"/>
        </w:rPr>
        <w:t xml:space="preserve">Before you start: </w:t>
      </w:r>
      <w:r>
        <w:rPr>
          <w:rFonts w:ascii="Yellix" w:cs="Yellix" w:eastAsia="Yellix" w:hAnsi="Yellix"/>
          <w:b w:val="false"/>
          <w:bCs w:val="false"/>
          <w:i w:val="false"/>
          <w:iCs w:val="false"/>
          <w:color w:val="000000"/>
          <w:sz w:val="20"/>
          <w:szCs w:val="20"/>
        </w:rPr>
        <w:t xml:space="preserve">if your Fun Palace is in a venue, such as a library or community centre, ask whether they already have a risk assessment you can use or add to. If you're making a Tiny Fun Palace at home, think it through in the same way. Not sure how to fill this in? Read </w:t>
      </w:r>
      <w:hyperlink w:history="1" r:id="rIdn_ok_9whrqjevww-2l1h0">
        <w:r>
          <w:rPr>
            <w:rFonts w:ascii="Yellix" w:cs="Yellix" w:eastAsia="Yellix" w:hAnsi="Yellix"/>
            <w:color w:val="E81902"/>
            <w:sz w:val="20"/>
            <w:szCs w:val="20"/>
            <w:u w:val="single"/>
          </w:rPr>
          <w:t xml:space="preserve">How to complete a risk assessment</w:t>
        </w:r>
      </w:hyperlink>
      <w:r>
        <w:rPr>
          <w:rFonts w:ascii="Yellix" w:cs="Yellix" w:eastAsia="Yellix" w:hAnsi="Yellix"/>
          <w:b w:val="false"/>
          <w:bCs w:val="false"/>
          <w:i w:val="false"/>
          <w:iCs w:val="false"/>
          <w:color w:val="000000"/>
          <w:sz w:val="20"/>
          <w:szCs w:val="20"/>
        </w:rPr>
        <w:t xml:space="preserve">, or email </w:t>
      </w:r>
      <w:hyperlink w:history="1" r:id="rIdfr4-lkwdmpapj-hpchiio">
        <w:r>
          <w:rPr>
            <w:rFonts w:ascii="Yellix" w:cs="Yellix" w:eastAsia="Yellix" w:hAnsi="Yellix"/>
            <w:color w:val="E81902"/>
            <w:sz w:val="20"/>
            <w:szCs w:val="20"/>
            <w:u w:val="single"/>
          </w:rPr>
          <w:t xml:space="preserve">hello@funpalaces.co.uk</w:t>
        </w:r>
      </w:hyperlink>
      <w:r>
        <w:rPr>
          <w:rFonts w:ascii="Yellix" w:cs="Yellix" w:eastAsia="Yellix" w:hAnsi="Yellix"/>
          <w:b w:val="false"/>
          <w:bCs w:val="false"/>
          <w:i w:val="false"/>
          <w:iCs w:val="false"/>
          <w:color w:val="000000"/>
          <w:sz w:val="20"/>
          <w:szCs w:val="20"/>
        </w:rPr>
        <w:t xml:space="preserve">.</w:t>
      </w:r>
    </w:p>
    <w:tbl>
      <w:tblPr>
        <w:tblW w:type="dxa" w:w="151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4969"/>
        <w:gridCol w:w="2600"/>
        <w:gridCol w:w="4969"/>
      </w:tblGrid>
      <w:tr>
        <w:trPr>
          <w:trHeight w:val="520" w:hRule="atLeast"/>
        </w:trPr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CE7E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Fun Palace name</w:t>
            </w:r>
          </w:p>
        </w:tc>
        <w:tc>
          <w:tcPr>
            <w:tcW w:type="dxa" w:w="4969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CE7E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Venue and address</w:t>
            </w:r>
          </w:p>
        </w:tc>
        <w:tc>
          <w:tcPr>
            <w:tcW w:type="dxa" w:w="4969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CE7E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Date(s) and times</w:t>
            </w:r>
          </w:p>
        </w:tc>
        <w:tc>
          <w:tcPr>
            <w:tcW w:type="dxa" w:w="4969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CE7E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Person completing this</w:t>
            </w:r>
          </w:p>
        </w:tc>
        <w:tc>
          <w:tcPr>
            <w:tcW w:type="dxa" w:w="4969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CE7E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Contact (phone or email)</w:t>
            </w:r>
          </w:p>
        </w:tc>
        <w:tc>
          <w:tcPr>
            <w:tcW w:type="dxa" w:w="4969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CE7E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Date completed / reviewed</w:t>
            </w:r>
          </w:p>
        </w:tc>
        <w:tc>
          <w:tcPr>
            <w:tcW w:type="dxa" w:w="4969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00" w:before="240" w:line="276"/>
      </w:pPr>
      <w:r>
        <w:rPr>
          <w:rFonts w:ascii="Yellix Black" w:cs="Yellix Black" w:eastAsia="Yellix Black" w:hAnsi="Yellix Black"/>
          <w:b w:val="false"/>
          <w:bCs w:val="false"/>
          <w:i w:val="false"/>
          <w:iCs w:val="false"/>
          <w:color w:val="E81902"/>
          <w:sz w:val="28"/>
          <w:szCs w:val="28"/>
        </w:rPr>
        <w:t xml:space="preserve">Your risk assessment</w:t>
      </w:r>
    </w:p>
    <w:p>
      <w:pPr>
        <w:keepNext w:val="false"/>
        <w:spacing w:after="100" w:before="0" w:line="276"/>
      </w:pPr>
      <w:r>
        <w:rPr>
          <w:rFonts w:ascii="Yellix" w:cs="Yellix" w:eastAsia="Yellix" w:hAnsi="Yellix"/>
          <w:b w:val="false"/>
          <w:bCs w:val="false"/>
          <w:i w:val="false"/>
          <w:iCs w:val="false"/>
          <w:color w:val="595959"/>
          <w:sz w:val="18"/>
          <w:szCs w:val="18"/>
        </w:rPr>
        <w:t xml:space="preserve">The grey examples show how to fill it in - change or delete them to fit your Fun Palace. Score each risk using the keys on the next page: Severity (S) × Likelihood (L).</w:t>
      </w:r>
    </w:p>
    <w:tbl>
      <w:tblPr>
        <w:tblW w:type="dxa" w:w="151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1700"/>
        <w:gridCol w:w="1500"/>
        <w:gridCol w:w="560"/>
        <w:gridCol w:w="560"/>
        <w:gridCol w:w="620"/>
        <w:gridCol w:w="3448"/>
        <w:gridCol w:w="560"/>
        <w:gridCol w:w="560"/>
        <w:gridCol w:w="620"/>
        <w:gridCol w:w="1910"/>
        <w:gridCol w:w="1200"/>
      </w:tblGrid>
      <w:tr>
        <w:trPr>
          <w:tblHeader/>
        </w:trP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8190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Activity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8190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Hazards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8190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Who could be harmed</w:t>
            </w:r>
          </w:p>
        </w:tc>
        <w:tc>
          <w:tcPr>
            <w:tcW w:type="dxa" w:w="174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8190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Risk before controls</w:t>
            </w:r>
          </w:p>
        </w:tc>
        <w:tc>
          <w:tcPr>
            <w:tcW w:type="dxa" w:w="344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8190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What you'll do to reduce the risk</w:t>
            </w:r>
          </w:p>
        </w:tc>
        <w:tc>
          <w:tcPr>
            <w:tcW w:type="dxa" w:w="174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8190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Risk after controls</w:t>
            </w:r>
          </w:p>
        </w:tc>
        <w:tc>
          <w:tcPr>
            <w:tcW w:type="dxa" w:w="191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8190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Anything else? (check on the day)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8190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Who's responsible</w:t>
            </w:r>
          </w:p>
        </w:tc>
      </w:tr>
      <w:tr>
        <w:trPr>
          <w:tblHeader/>
        </w:trP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CE7E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CE7E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CE7E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CE7E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S</w:t>
            </w:r>
          </w:p>
        </w:tc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CE7E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L</w:t>
            </w:r>
          </w:p>
        </w:tc>
        <w:tc>
          <w:tcPr>
            <w:tcW w:type="dxa" w:w="6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CE7E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S×L</w:t>
            </w:r>
          </w:p>
        </w:tc>
        <w:tc>
          <w:tcPr>
            <w:tcW w:type="dxa" w:w="344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CE7E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CE7E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S</w:t>
            </w:r>
          </w:p>
        </w:tc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CE7E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L</w:t>
            </w:r>
          </w:p>
        </w:tc>
        <w:tc>
          <w:tcPr>
            <w:tcW w:type="dxa" w:w="6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CE7E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S×L</w:t>
            </w:r>
          </w:p>
        </w:tc>
        <w:tc>
          <w:tcPr>
            <w:tcW w:type="dxa" w:w="191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CE7E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CE7E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/>
                <w:bCs/>
                <w:i w:val="false"/>
                <w:iCs w:val="false"/>
                <w:color w:val="595959"/>
                <w:sz w:val="18"/>
                <w:szCs w:val="18"/>
              </w:rPr>
              <w:t xml:space="preserve">Example: craft table (scissors, glue guns)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Cuts, burns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Participants, especially children; volunteers</w:t>
            </w:r>
          </w:p>
        </w:tc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3</w:t>
            </w:r>
          </w:p>
        </w:tc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3</w:t>
            </w:r>
          </w:p>
        </w:tc>
        <w:tc>
          <w:tcPr>
            <w:tcW w:type="dxa" w:w="6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9</w:t>
            </w:r>
          </w:p>
        </w:tc>
        <w:tc>
          <w:tcPr>
            <w:tcW w:type="dxa" w:w="344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Low-temperature glue guns only, used by an adult. Child-safe scissors. Craft table away from walkways. First aid kit nearby.</w:t>
            </w:r>
          </w:p>
        </w:tc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2</w:t>
            </w:r>
          </w:p>
        </w:tc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1</w:t>
            </w:r>
          </w:p>
        </w:tc>
        <w:tc>
          <w:tcPr>
            <w:tcW w:type="dxa" w:w="6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2</w:t>
            </w:r>
          </w:p>
        </w:tc>
        <w:tc>
          <w:tcPr>
            <w:tcW w:type="dxa" w:w="191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Check equipment before opening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AB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/>
                <w:bCs/>
                <w:i w:val="false"/>
                <w:iCs w:val="false"/>
                <w:color w:val="595959"/>
                <w:sz w:val="18"/>
                <w:szCs w:val="18"/>
              </w:rPr>
              <w:t xml:space="preserve">Example: cables and props in walkways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Trips and falls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Everyone, especially people with visual impairments</w:t>
            </w:r>
          </w:p>
        </w:tc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3</w:t>
            </w:r>
          </w:p>
        </w:tc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3</w:t>
            </w:r>
          </w:p>
        </w:tc>
        <w:tc>
          <w:tcPr>
            <w:tcW w:type="dxa" w:w="6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9</w:t>
            </w:r>
          </w:p>
        </w:tc>
        <w:tc>
          <w:tcPr>
            <w:tcW w:type="dxa" w:w="344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Keep walkways clear. Tape down or cover cables. Clear signs and good lighting.</w:t>
            </w:r>
          </w:p>
        </w:tc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3</w:t>
            </w:r>
          </w:p>
        </w:tc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1</w:t>
            </w:r>
          </w:p>
        </w:tc>
        <w:tc>
          <w:tcPr>
            <w:tcW w:type="dxa" w:w="6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3</w:t>
            </w:r>
          </w:p>
        </w:tc>
        <w:tc>
          <w:tcPr>
            <w:tcW w:type="dxa" w:w="191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Walk the space before doors open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CD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/>
                <w:bCs/>
                <w:i w:val="false"/>
                <w:iCs w:val="false"/>
                <w:color w:val="595959"/>
                <w:sz w:val="18"/>
                <w:szCs w:val="18"/>
              </w:rPr>
              <w:t xml:space="preserve">Example: hot drinks and food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Scalds; allergic reactions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Participants, volunteers</w:t>
            </w:r>
          </w:p>
        </w:tc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3</w:t>
            </w:r>
          </w:p>
        </w:tc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3</w:t>
            </w:r>
          </w:p>
        </w:tc>
        <w:tc>
          <w:tcPr>
            <w:tcW w:type="dxa" w:w="6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9</w:t>
            </w:r>
          </w:p>
        </w:tc>
        <w:tc>
          <w:tcPr>
            <w:tcW w:type="dxa" w:w="344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Hot drinks served from a table out of children's reach. Ingredients and allergens labelled. Hands washed, food covered.</w:t>
            </w:r>
          </w:p>
        </w:tc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2</w:t>
            </w:r>
          </w:p>
        </w:tc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2</w:t>
            </w:r>
          </w:p>
        </w:tc>
        <w:tc>
          <w:tcPr>
            <w:tcW w:type="dxa" w:w="6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4</w:t>
            </w:r>
          </w:p>
        </w:tc>
        <w:tc>
          <w:tcPr>
            <w:tcW w:type="dxa" w:w="191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Allergen list on display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EF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/>
                <w:bCs/>
                <w:i w:val="false"/>
                <w:iCs w:val="false"/>
                <w:color w:val="595959"/>
                <w:sz w:val="18"/>
                <w:szCs w:val="18"/>
              </w:rPr>
              <w:t xml:space="preserve">Example: active session (dance, sport, games)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Strains, collisions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Participants and session leader</w:t>
            </w:r>
          </w:p>
        </w:tc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3</w:t>
            </w:r>
          </w:p>
        </w:tc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3</w:t>
            </w:r>
          </w:p>
        </w:tc>
        <w:tc>
          <w:tcPr>
            <w:tcW w:type="dxa" w:w="6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9</w:t>
            </w:r>
          </w:p>
        </w:tc>
        <w:tc>
          <w:tcPr>
            <w:tcW w:type="dxa" w:w="344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Warm-up first. Clear instructions. Everyone joins in at their own level. Enough space for the group size.</w:t>
            </w:r>
          </w:p>
        </w:tc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2</w:t>
            </w:r>
          </w:p>
        </w:tc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2</w:t>
            </w:r>
          </w:p>
        </w:tc>
        <w:tc>
          <w:tcPr>
            <w:tcW w:type="dxa" w:w="6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4</w:t>
            </w:r>
          </w:p>
        </w:tc>
        <w:tc>
          <w:tcPr>
            <w:tcW w:type="dxa" w:w="191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GH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/>
                <w:bCs/>
                <w:i w:val="false"/>
                <w:iCs w:val="false"/>
                <w:color w:val="595959"/>
                <w:sz w:val="18"/>
                <w:szCs w:val="18"/>
              </w:rPr>
              <w:t xml:space="preserve">Example: lost child or vulnerable adult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Distress, harm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Children, vulnerable adults</w:t>
            </w:r>
          </w:p>
        </w:tc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4</w:t>
            </w:r>
          </w:p>
        </w:tc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2</w:t>
            </w:r>
          </w:p>
        </w:tc>
        <w:tc>
          <w:tcPr>
            <w:tcW w:type="dxa" w:w="6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8</w:t>
            </w:r>
          </w:p>
        </w:tc>
        <w:tc>
          <w:tcPr>
            <w:tcW w:type="dxa" w:w="344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Children stay with a parent or carer. One named person to go to. Agreed plan with the venue.</w:t>
            </w:r>
          </w:p>
        </w:tc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4</w:t>
            </w:r>
          </w:p>
        </w:tc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1</w:t>
            </w:r>
          </w:p>
        </w:tc>
        <w:tc>
          <w:tcPr>
            <w:tcW w:type="dxa" w:w="6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4</w:t>
            </w:r>
          </w:p>
        </w:tc>
        <w:tc>
          <w:tcPr>
            <w:tcW w:type="dxa" w:w="191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Brief all helpers at the start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IJ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/>
                <w:bCs/>
                <w:i w:val="false"/>
                <w:iCs w:val="false"/>
                <w:color w:val="595959"/>
                <w:sz w:val="18"/>
                <w:szCs w:val="18"/>
              </w:rPr>
              <w:t xml:space="preserve">Example: emergency or evacuation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Injury, panic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Everyone</w:t>
            </w:r>
          </w:p>
        </w:tc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5</w:t>
            </w:r>
          </w:p>
        </w:tc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1</w:t>
            </w:r>
          </w:p>
        </w:tc>
        <w:tc>
          <w:tcPr>
            <w:tcW w:type="dxa" w:w="6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5</w:t>
            </w:r>
          </w:p>
        </w:tc>
        <w:tc>
          <w:tcPr>
            <w:tcW w:type="dxa" w:w="344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Know the venue's fire exits, alarm and meeting point. Keep exits clear. Plan help for anyone who needs it to leave.</w:t>
            </w:r>
          </w:p>
        </w:tc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5</w:t>
            </w:r>
          </w:p>
        </w:tc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1</w:t>
            </w:r>
          </w:p>
        </w:tc>
        <w:tc>
          <w:tcPr>
            <w:tcW w:type="dxa" w:w="6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5</w:t>
            </w:r>
          </w:p>
        </w:tc>
        <w:tc>
          <w:tcPr>
            <w:tcW w:type="dxa" w:w="191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Ask the venue for their plan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595959"/>
                <w:sz w:val="18"/>
                <w:szCs w:val="18"/>
              </w:rPr>
              <w:t xml:space="preserve">KL</w:t>
            </w:r>
          </w:p>
        </w:tc>
      </w:tr>
      <w:tr>
        <w:trPr>
          <w:trHeight w:val="700" w:hRule="atLeast"/>
        </w:trP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6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44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6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91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6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44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6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91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6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44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6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91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6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44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6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91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6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44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6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91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6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44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6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91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pageBreakBefore/>
      </w:pPr>
    </w:p>
    <w:p>
      <w:pPr>
        <w:keepNext/>
        <w:spacing w:after="100" w:before="240" w:line="276"/>
      </w:pPr>
      <w:r>
        <w:rPr>
          <w:rFonts w:ascii="Yellix Black" w:cs="Yellix Black" w:eastAsia="Yellix Black" w:hAnsi="Yellix Black"/>
          <w:b w:val="false"/>
          <w:bCs w:val="false"/>
          <w:i w:val="false"/>
          <w:iCs w:val="false"/>
          <w:color w:val="E81902"/>
          <w:sz w:val="28"/>
          <w:szCs w:val="28"/>
        </w:rPr>
        <w:t xml:space="preserve">How to score a risk</w:t>
      </w:r>
    </w:p>
    <w:p>
      <w:pPr>
        <w:keepNext w:val="false"/>
        <w:spacing w:after="100" w:before="0" w:line="276"/>
      </w:pPr>
      <w:r>
        <w:rPr>
          <w:rFonts w:ascii="Yellix" w:cs="Yellix" w:eastAsia="Yellix" w:hAnsi="Yellix"/>
          <w:b w:val="false"/>
          <w:bCs w:val="false"/>
          <w:i w:val="false"/>
          <w:iCs w:val="false"/>
          <w:color w:val="000000"/>
          <w:sz w:val="20"/>
          <w:szCs w:val="20"/>
        </w:rPr>
        <w:t xml:space="preserve">Multiply Severity by Likelihood to get the score, then check the rating below.</w:t>
      </w:r>
    </w:p>
    <w:tbl>
      <w:tblPr>
        <w:tblW w:type="dxa" w:w="8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900"/>
        <w:gridCol w:w="3000"/>
        <w:gridCol w:w="900"/>
      </w:tblGrid>
      <w:tr>
        <w:tc>
          <w:tcPr>
            <w:tcW w:type="dxa" w:w="3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CE7E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Severity (S)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CE7E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CE7E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Likelihood (L)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CE7E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Fatality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5</w:t>
            </w:r>
          </w:p>
        </w:tc>
        <w:tc>
          <w:tcPr>
            <w:tcW w:type="dxa" w:w="3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Certain or about to happen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5</w:t>
            </w:r>
          </w:p>
        </w:tc>
      </w:tr>
      <w:tr>
        <w:tc>
          <w:tcPr>
            <w:tcW w:type="dxa" w:w="3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Major injury or illness, major damage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4</w:t>
            </w:r>
          </w:p>
        </w:tc>
        <w:tc>
          <w:tcPr>
            <w:tcW w:type="dxa" w:w="3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Very likely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4</w:t>
            </w:r>
          </w:p>
        </w:tc>
      </w:tr>
      <w:tr>
        <w:tc>
          <w:tcPr>
            <w:tcW w:type="dxa" w:w="3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Injury or illness needing time off, damage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3</w:t>
            </w:r>
          </w:p>
        </w:tc>
        <w:tc>
          <w:tcPr>
            <w:tcW w:type="dxa" w:w="3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May happen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3</w:t>
            </w:r>
          </w:p>
        </w:tc>
      </w:tr>
      <w:tr>
        <w:tc>
          <w:tcPr>
            <w:tcW w:type="dxa" w:w="3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Minor injury, minor damage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2</w:t>
            </w:r>
          </w:p>
        </w:tc>
        <w:tc>
          <w:tcPr>
            <w:tcW w:type="dxa" w:w="3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Unlikely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dxa" w:w="3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Delay only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1</w:t>
            </w:r>
          </w:p>
        </w:tc>
        <w:tc>
          <w:tcPr>
            <w:tcW w:type="dxa" w:w="3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Very unlikely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  <w:jc w:val="center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1</w:t>
            </w:r>
          </w:p>
        </w:tc>
      </w:tr>
    </w:tbl>
    <w:p>
      <w:pPr>
        <w:keepNext w:val="false"/>
        <w:spacing w:after="120" w:before="0" w:line="276"/>
      </w:pPr>
      <w:r>
        <w:rPr>
          <w:rFonts w:ascii="Yellix" w:cs="Yellix" w:eastAsia="Yellix" w:hAnsi="Yellix"/>
          <w:b w:val="false"/>
          <w:bCs w:val="false"/>
          <w:i w:val="false"/>
          <w:iCs w:val="false"/>
          <w:color w:val="000000"/>
          <w:sz w:val="20"/>
          <w:szCs w:val="20"/>
        </w:rPr>
        <w:t xml:space="preserve"/>
      </w:r>
    </w:p>
    <w:tbl>
      <w:tblPr>
        <w:tblW w:type="dxa" w:w="8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700"/>
        <w:gridCol w:w="5200"/>
      </w:tblGrid>
      <w:tr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CE7E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S × L score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CE7E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Rating</w:t>
            </w:r>
          </w:p>
        </w:tc>
        <w:tc>
          <w:tcPr>
            <w:tcW w:type="dxa" w:w="5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CE7E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What to do</w:t>
            </w:r>
          </w:p>
        </w:tc>
      </w:tr>
      <w:tr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10 to 25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Not OK</w:t>
            </w:r>
          </w:p>
        </w:tc>
        <w:tc>
          <w:tcPr>
            <w:tcW w:type="dxa" w:w="5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Don't go ahead with this activity as planned. Change it, or ask the venue or the Fun Palaces team for advice.</w:t>
            </w:r>
          </w:p>
        </w:tc>
      </w:tr>
      <w:tr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6 to 9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Take care</w:t>
            </w:r>
          </w:p>
        </w:tc>
        <w:tc>
          <w:tcPr>
            <w:tcW w:type="dxa" w:w="5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Go ahead, but look for ways to reduce the risk further.</w:t>
            </w:r>
          </w:p>
        </w:tc>
      </w:tr>
      <w:tr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1 to 5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OK</w:t>
            </w:r>
          </w:p>
        </w:tc>
        <w:tc>
          <w:tcPr>
            <w:tcW w:type="dxa" w:w="5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Go ahead.</w:t>
            </w:r>
          </w:p>
        </w:tc>
      </w:tr>
    </w:tbl>
    <w:p>
      <w:pPr>
        <w:pageBreakBefore/>
      </w:pPr>
    </w:p>
    <w:p>
      <w:pPr>
        <w:keepNext/>
        <w:spacing w:after="100" w:before="240" w:line="276"/>
      </w:pPr>
      <w:r>
        <w:rPr>
          <w:rFonts w:ascii="Yellix Black" w:cs="Yellix Black" w:eastAsia="Yellix Black" w:hAnsi="Yellix Black"/>
          <w:b w:val="false"/>
          <w:bCs w:val="false"/>
          <w:i w:val="false"/>
          <w:iCs w:val="false"/>
          <w:color w:val="E81902"/>
          <w:sz w:val="28"/>
          <w:szCs w:val="28"/>
        </w:rPr>
        <w:t xml:space="preserve">Ways to reduce a risk</w:t>
      </w:r>
    </w:p>
    <w:tbl>
      <w:tblPr>
        <w:tblW w:type="dxa" w:w="8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5800"/>
      </w:tblGrid>
      <w:tr>
        <w:trPr>
          <w:cantSplit/>
        </w:trPr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CE7E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/>
              <w:spacing w:after="40" w:before="0" w:line="276"/>
            </w:pPr>
            <w:r>
              <w:rPr>
                <w:rFonts w:ascii="Yellix" w:cs="Yellix" w:eastAsia="Yellix" w:hAnsi="Yellix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Most effective first</w:t>
            </w:r>
          </w:p>
        </w:tc>
        <w:tc>
          <w:tcPr>
            <w:tcW w:type="dxa" w:w="5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CE7E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/>
              <w:spacing w:after="40" w:before="0" w:line="276"/>
            </w:pPr>
            <w:r>
              <w:rPr>
                <w:rFonts w:ascii="Yellix" w:cs="Yellix" w:eastAsia="Yellix" w:hAnsi="Yellix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Ask yourself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/>
              <w:spacing w:after="40" w:before="0" w:line="276"/>
            </w:pPr>
            <w:r>
              <w:rPr>
                <w:rFonts w:ascii="Yellix" w:cs="Yellix" w:eastAsia="Yellix" w:hAnsi="Yellix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Remove it</w:t>
            </w:r>
          </w:p>
        </w:tc>
        <w:tc>
          <w:tcPr>
            <w:tcW w:type="dxa" w:w="5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Do you need this activity or item at all?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/>
              <w:spacing w:after="40" w:before="0" w:line="276"/>
            </w:pPr>
            <w:r>
              <w:rPr>
                <w:rFonts w:ascii="Yellix" w:cs="Yellix" w:eastAsia="Yellix" w:hAnsi="Yellix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Swap it</w:t>
            </w:r>
          </w:p>
        </w:tc>
        <w:tc>
          <w:tcPr>
            <w:tcW w:type="dxa" w:w="5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Could something less risky do the same job?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/>
              <w:spacing w:after="40" w:before="0" w:line="276"/>
            </w:pPr>
            <w:r>
              <w:rPr>
                <w:rFonts w:ascii="Yellix" w:cs="Yellix" w:eastAsia="Yellix" w:hAnsi="Yellix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Reduce it</w:t>
            </w:r>
          </w:p>
        </w:tc>
        <w:tc>
          <w:tcPr>
            <w:tcW w:type="dxa" w:w="5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Could you use less of it, or do it for less time?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/>
              <w:spacing w:after="40" w:before="0" w:line="276"/>
            </w:pPr>
            <w:r>
              <w:rPr>
                <w:rFonts w:ascii="Yellix" w:cs="Yellix" w:eastAsia="Yellix" w:hAnsi="Yellix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Contain it</w:t>
            </w:r>
          </w:p>
        </w:tc>
        <w:tc>
          <w:tcPr>
            <w:tcW w:type="dxa" w:w="5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Can you keep it to a small, separate area?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/>
              <w:spacing w:after="40" w:before="0" w:line="276"/>
            </w:pPr>
            <w:r>
              <w:rPr>
                <w:rFonts w:ascii="Yellix" w:cs="Yellix" w:eastAsia="Yellix" w:hAnsi="Yellix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Plan it</w:t>
            </w:r>
          </w:p>
        </w:tc>
        <w:tc>
          <w:tcPr>
            <w:tcW w:type="dxa" w:w="5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Is there a clear, step-by-step way of doing it safely?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/>
              <w:spacing w:after="40" w:before="0" w:line="276"/>
            </w:pPr>
            <w:r>
              <w:rPr>
                <w:rFonts w:ascii="Yellix" w:cs="Yellix" w:eastAsia="Yellix" w:hAnsi="Yellix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Brief people</w:t>
            </w:r>
          </w:p>
        </w:tc>
        <w:tc>
          <w:tcPr>
            <w:tcW w:type="dxa" w:w="5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Does everyone helping know what to do?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/>
              <w:spacing w:after="40" w:before="0" w:line="276"/>
            </w:pPr>
            <w:r>
              <w:rPr>
                <w:rFonts w:ascii="Yellix" w:cs="Yellix" w:eastAsia="Yellix" w:hAnsi="Yellix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Protective kit</w:t>
            </w:r>
          </w:p>
        </w:tc>
        <w:tc>
          <w:tcPr>
            <w:tcW w:type="dxa" w:w="5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Gloves, aprons, goggles, ear defenders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Least effective</w:t>
            </w:r>
          </w:p>
        </w:tc>
        <w:tc>
          <w:tcPr>
            <w:tcW w:type="dxa" w:w="5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40" w:before="0" w:line="276"/>
            </w:pPr>
            <w:r>
              <w:rPr>
                <w:rFonts w:ascii="Yellix" w:cs="Yellix" w:eastAsia="Yellix" w:hAnsi="Yellix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Just telling people to be careful</w:t>
            </w:r>
          </w:p>
        </w:tc>
      </w:tr>
    </w:tbl>
    <w:p>
      <w:pPr>
        <w:keepNext/>
        <w:spacing w:after="100" w:before="240" w:line="276"/>
      </w:pPr>
      <w:r>
        <w:rPr>
          <w:rFonts w:ascii="Yellix Black" w:cs="Yellix Black" w:eastAsia="Yellix Black" w:hAnsi="Yellix Black"/>
          <w:b w:val="false"/>
          <w:bCs w:val="false"/>
          <w:i w:val="false"/>
          <w:iCs w:val="false"/>
          <w:color w:val="E81902"/>
          <w:sz w:val="28"/>
          <w:szCs w:val="28"/>
        </w:rPr>
        <w:t xml:space="preserve">On the day</w:t>
      </w:r>
    </w:p>
    <w:p>
      <w:pPr>
        <w:keepNext w:val="false"/>
        <w:spacing w:after="80" w:before="0" w:line="276"/>
      </w:pPr>
      <w:r>
        <w:rPr>
          <w:rFonts w:ascii="Yellix" w:cs="Yellix" w:eastAsia="Yellix" w:hAnsi="Yellix"/>
          <w:b w:val="false"/>
          <w:bCs w:val="false"/>
          <w:i w:val="false"/>
          <w:iCs w:val="false"/>
          <w:color w:val="000000"/>
          <w:sz w:val="20"/>
          <w:szCs w:val="20"/>
        </w:rPr>
        <w:t xml:space="preserve">Walk round the space before people arrive. Brief everyone helping on the main risks, the first aid kit, the fire exits and who to go to. Keep a copy of this form with you, and share it with the venue and anyone named in the 'Who's responsible' column.</w:t>
      </w:r>
    </w:p>
    <w:sectPr>
      <w:footerReference w:type="default" r:id="rId6"/>
      <w:pgSz w:w="16838" w:h="11906" w:orient="landscape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spacing w:after="80" w:before="0" w:line="276"/>
      <w:jc w:val="center"/>
    </w:pPr>
    <w:r>
      <w:rPr>
        <w:rFonts w:ascii="Yellix" w:cs="Yellix" w:eastAsia="Yellix" w:hAnsi="Yellix"/>
        <w:b w:val="false"/>
        <w:bCs w:val="false"/>
        <w:i w:val="false"/>
        <w:iCs w:val="false"/>
        <w:color w:val="595959"/>
        <w:sz w:val="16"/>
        <w:szCs w:val="16"/>
      </w:rPr>
      <w:t xml:space="preserve">Fun Palaces Risk Assessment Template 2027 · funpalaces.co.uk · hello@funpalaces.co.uk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ellix" w:cs="Yellix" w:eastAsia="Yellix" w:hAnsi="Yellix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n_ok_9whrqjevww-2l1h0" Type="http://schemas.openxmlformats.org/officeDocument/2006/relationships/hyperlink" Target="https://funpalaces.co.uk/wp-content/uploads/2024/06/How-to-Complete-a-Risk-Assessment-2024.pdf" TargetMode="External"/><Relationship Id="rIdfr4-lkwdmpapj-hpchiio" Type="http://schemas.openxmlformats.org/officeDocument/2006/relationships/hyperlink" Target="mailto:hello@funpalaces.co.uk" TargetMode="External"/><Relationship Id="rId10" Type="http://schemas.openxmlformats.org/officeDocument/2006/relationships/image" Target="media/f15f605bd6252c50303b42061cca6c174183cbec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 Palaces Risk Assessment Template 2027</dc:title>
  <dc:creator>Fun Palaces</dc:creator>
  <dc:description>A risk assessment form for Fun Palace Makers, with worked examples.</dc:description>
  <cp:lastModifiedBy>Un-named</cp:lastModifiedBy>
  <cp:revision>1</cp:revision>
  <dcterms:created xsi:type="dcterms:W3CDTF">2026-10-27T20:53:40.290Z</dcterms:created>
  <dcterms:modified xsi:type="dcterms:W3CDTF">2026-10-27T20:53:40.292Z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